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19121</w:t>
      </w:r>
      <w:bookmarkStart w:id="4" w:name="_GoBack"/>
      <w:bookmarkEnd w:id="4"/>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w:t>
      </w:r>
      <w:bookmarkEnd w:id="0"/>
      <w:r>
        <w:rPr>
          <w:rFonts w:hint="eastAsia" w:eastAsia="宋体"/>
          <w:color w:val="auto"/>
          <w:sz w:val="24"/>
          <w:lang w:val="en-US" w:eastAsia="zh-CN"/>
        </w:rPr>
        <w:t>SRS related impact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8.19.2.3</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100 e-meeting, one WF [1] was approved,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color w:val="auto"/>
                <w:sz w:val="21"/>
                <w:szCs w:val="21"/>
                <w:vertAlign w:val="baseline"/>
                <w:lang w:val="en-US" w:eastAsia="zh-CN"/>
              </w:rPr>
            </w:pPr>
            <w:bookmarkStart w:id="1" w:name="OLE_LINK1"/>
            <w:r>
              <w:rPr>
                <w:rFonts w:hint="eastAsia" w:eastAsia="宋体"/>
                <w:b/>
                <w:bCs/>
                <w:color w:val="auto"/>
                <w:sz w:val="21"/>
                <w:szCs w:val="21"/>
                <w:vertAlign w:val="baseline"/>
                <w:lang w:val="en-US" w:eastAsia="zh-CN"/>
              </w:rPr>
              <w:t>Impact for multi-panel reception</w:t>
            </w:r>
          </w:p>
          <w:bookmarkEnd w:id="1"/>
          <w:p>
            <w:pPr>
              <w:tabs>
                <w:tab w:val="left" w:pos="1800"/>
              </w:tabs>
              <w:ind w:firstLine="400" w:firstLineChars="200"/>
              <w:rPr>
                <w:sz w:val="20"/>
                <w:szCs w:val="20"/>
                <w:highlight w:val="green"/>
              </w:rPr>
            </w:pPr>
            <w:r>
              <w:rPr>
                <w:rFonts w:hint="eastAsia"/>
                <w:sz w:val="20"/>
                <w:szCs w:val="20"/>
                <w:highlight w:val="green"/>
              </w:rPr>
              <w:t>A</w:t>
            </w:r>
            <w:r>
              <w:rPr>
                <w:sz w:val="20"/>
                <w:szCs w:val="20"/>
                <w:highlight w:val="green"/>
              </w:rPr>
              <w:t xml:space="preserve">greement: </w:t>
            </w:r>
          </w:p>
          <w:p>
            <w:pPr>
              <w:pStyle w:val="26"/>
              <w:numPr>
                <w:ilvl w:val="0"/>
                <w:numId w:val="4"/>
              </w:numPr>
              <w:ind w:firstLineChars="0"/>
              <w:rPr>
                <w:rFonts w:eastAsia="Malgun Gothic"/>
                <w:highlight w:val="none"/>
                <w:lang w:val="sv-SE" w:eastAsia="ko-KR"/>
              </w:rPr>
            </w:pPr>
            <w:bookmarkStart w:id="2" w:name="_Hlk80649094"/>
            <w:r>
              <w:rPr>
                <w:rFonts w:hint="eastAsia" w:eastAsia="Malgun Gothic"/>
                <w:highlight w:val="none"/>
                <w:lang w:val="sv-SE" w:eastAsia="ko-KR"/>
              </w:rPr>
              <w:t xml:space="preserve">RAN4 </w:t>
            </w:r>
            <w:r>
              <w:rPr>
                <w:rFonts w:eastAsia="Malgun Gothic"/>
                <w:highlight w:val="none"/>
                <w:lang w:val="sv-SE" w:eastAsia="ko-KR"/>
              </w:rPr>
              <w:t>will further determine if additional requirement is required for the multi-panel reception</w:t>
            </w:r>
            <w:bookmarkEnd w:id="2"/>
          </w:p>
          <w:p>
            <w:pPr>
              <w:pStyle w:val="26"/>
              <w:numPr>
                <w:ilvl w:val="0"/>
                <w:numId w:val="4"/>
              </w:numPr>
              <w:ind w:firstLineChars="0"/>
              <w:rPr>
                <w:rFonts w:eastAsia="Malgun Gothic"/>
                <w:highlight w:val="none"/>
                <w:lang w:val="sv-SE" w:eastAsia="ko-KR"/>
              </w:rPr>
            </w:pPr>
            <w:r>
              <w:rPr>
                <w:rFonts w:eastAsia="Malgun Gothic"/>
                <w:highlight w:val="none"/>
                <w:lang w:val="sv-SE" w:eastAsia="ko-KR"/>
              </w:rPr>
              <w:t>The RF impact for the multi-panel UE will be discussed in in RAN4#101-e based on the contribution</w:t>
            </w:r>
          </w:p>
          <w:p>
            <w:pPr>
              <w:pStyle w:val="26"/>
              <w:numPr>
                <w:ilvl w:val="1"/>
                <w:numId w:val="4"/>
              </w:numPr>
              <w:ind w:firstLineChars="0"/>
              <w:rPr>
                <w:rFonts w:eastAsia="Malgun Gothic"/>
                <w:highlight w:val="none"/>
                <w:lang w:val="sv-SE" w:eastAsia="ko-KR"/>
              </w:rPr>
            </w:pPr>
            <w:r>
              <w:rPr>
                <w:rFonts w:eastAsia="Yu Mincho"/>
                <w:highlight w:val="none"/>
                <w:lang w:val="sv-SE" w:eastAsia="ja-JP"/>
              </w:rPr>
              <w:t>Aim is to decide on the impact in RAN4#101-e given the time limitation</w:t>
            </w:r>
          </w:p>
          <w:p>
            <w:pPr>
              <w:numPr>
                <w:ilvl w:val="0"/>
                <w:numId w:val="0"/>
              </w:numPr>
              <w:autoSpaceDE w:val="0"/>
              <w:autoSpaceDN w:val="0"/>
              <w:adjustRightInd w:val="0"/>
              <w:spacing w:after="0"/>
              <w:rPr>
                <w:rFonts w:hint="eastAsia" w:eastAsia="宋体"/>
                <w:b/>
                <w:bCs/>
                <w:color w:val="auto"/>
                <w:sz w:val="21"/>
                <w:szCs w:val="21"/>
                <w:vertAlign w:val="baseline"/>
                <w:lang w:val="en-US" w:eastAsia="zh-CN"/>
              </w:rPr>
            </w:pPr>
            <w:r>
              <w:rPr>
                <w:rFonts w:hint="eastAsia" w:eastAsia="宋体"/>
                <w:b/>
                <w:bCs/>
                <w:color w:val="auto"/>
                <w:sz w:val="21"/>
                <w:szCs w:val="21"/>
                <w:vertAlign w:val="baseline"/>
                <w:lang w:val="en-US" w:eastAsia="zh-CN"/>
              </w:rPr>
              <w:t>Impact for MPE</w:t>
            </w:r>
          </w:p>
          <w:p>
            <w:pPr>
              <w:tabs>
                <w:tab w:val="left" w:pos="1800"/>
              </w:tabs>
              <w:ind w:firstLine="400" w:firstLineChars="200"/>
              <w:rPr>
                <w:sz w:val="20"/>
                <w:szCs w:val="20"/>
                <w:highlight w:val="green"/>
              </w:rPr>
            </w:pPr>
            <w:r>
              <w:rPr>
                <w:rFonts w:hint="eastAsia"/>
                <w:sz w:val="20"/>
                <w:szCs w:val="20"/>
                <w:highlight w:val="green"/>
              </w:rPr>
              <w:t>A</w:t>
            </w:r>
            <w:r>
              <w:rPr>
                <w:sz w:val="20"/>
                <w:szCs w:val="20"/>
                <w:highlight w:val="green"/>
              </w:rPr>
              <w:t xml:space="preserve">greement: </w:t>
            </w:r>
          </w:p>
          <w:p>
            <w:pPr>
              <w:pStyle w:val="26"/>
              <w:numPr>
                <w:ilvl w:val="0"/>
                <w:numId w:val="4"/>
              </w:numPr>
              <w:ind w:firstLineChars="0"/>
              <w:rPr>
                <w:highlight w:val="none"/>
                <w:lang w:val="sv-SE" w:eastAsia="zh-CN"/>
              </w:rPr>
            </w:pPr>
            <w:r>
              <w:rPr>
                <w:rFonts w:eastAsia="Malgun Gothic"/>
                <w:highlight w:val="none"/>
                <w:lang w:val="en-US" w:eastAsia="ko-KR"/>
              </w:rPr>
              <w:t>It would be little impact to RAN4 such as adding notes, if needed, even though those are finally introduced in RAN1</w:t>
            </w:r>
          </w:p>
          <w:p>
            <w:pPr>
              <w:pStyle w:val="26"/>
              <w:numPr>
                <w:ilvl w:val="0"/>
                <w:numId w:val="4"/>
              </w:numPr>
              <w:ind w:firstLineChars="0"/>
              <w:rPr>
                <w:highlight w:val="none"/>
                <w:lang w:val="sv-SE" w:eastAsia="zh-CN"/>
              </w:rPr>
            </w:pPr>
            <w:bookmarkStart w:id="3" w:name="_Hlk80838131"/>
            <w:r>
              <w:rPr>
                <w:rFonts w:eastAsiaTheme="minorEastAsia"/>
                <w:highlight w:val="none"/>
                <w:lang w:val="en-US" w:eastAsia="zh-CN"/>
              </w:rPr>
              <w:t>Companies are encouraged to check and analyze the RAN4 impact of the MPE enhancements considering the RAN1 progress in the next meeting</w:t>
            </w:r>
          </w:p>
          <w:bookmarkEnd w:id="3"/>
          <w:p>
            <w:pPr>
              <w:numPr>
                <w:ilvl w:val="0"/>
                <w:numId w:val="0"/>
              </w:numPr>
              <w:autoSpaceDE w:val="0"/>
              <w:autoSpaceDN w:val="0"/>
              <w:adjustRightInd w:val="0"/>
              <w:spacing w:after="0"/>
              <w:rPr>
                <w:rFonts w:hint="eastAsia" w:eastAsia="宋体"/>
                <w:b/>
                <w:bCs/>
                <w:color w:val="auto"/>
                <w:sz w:val="21"/>
                <w:szCs w:val="21"/>
                <w:vertAlign w:val="baseline"/>
                <w:lang w:val="en-US" w:eastAsia="zh-CN"/>
              </w:rPr>
            </w:pPr>
            <w:r>
              <w:rPr>
                <w:rFonts w:hint="eastAsia" w:eastAsia="宋体"/>
                <w:b/>
                <w:bCs/>
                <w:color w:val="auto"/>
                <w:sz w:val="21"/>
                <w:szCs w:val="21"/>
                <w:vertAlign w:val="baseline"/>
                <w:lang w:val="en-US" w:eastAsia="zh-CN"/>
              </w:rPr>
              <w:t>Impact for SRS enhancement</w:t>
            </w:r>
          </w:p>
          <w:p>
            <w:pPr>
              <w:tabs>
                <w:tab w:val="left" w:pos="1800"/>
              </w:tabs>
              <w:ind w:firstLine="400" w:firstLineChars="200"/>
              <w:rPr>
                <w:sz w:val="20"/>
                <w:szCs w:val="20"/>
                <w:highlight w:val="green"/>
              </w:rPr>
            </w:pPr>
            <w:r>
              <w:rPr>
                <w:rFonts w:hint="eastAsia"/>
                <w:sz w:val="20"/>
                <w:szCs w:val="20"/>
                <w:highlight w:val="green"/>
              </w:rPr>
              <w:t>A</w:t>
            </w:r>
            <w:r>
              <w:rPr>
                <w:sz w:val="20"/>
                <w:szCs w:val="20"/>
                <w:highlight w:val="green"/>
              </w:rPr>
              <w:t xml:space="preserve">greement: </w:t>
            </w:r>
          </w:p>
          <w:p>
            <w:pPr>
              <w:pStyle w:val="26"/>
              <w:numPr>
                <w:ilvl w:val="0"/>
                <w:numId w:val="4"/>
              </w:numPr>
              <w:ind w:firstLineChars="0"/>
              <w:rPr>
                <w:highlight w:val="none"/>
                <w:lang w:val="sv-SE" w:eastAsia="zh-CN"/>
              </w:rPr>
            </w:pPr>
            <w:r>
              <w:rPr>
                <w:rFonts w:eastAsia="Malgun Gothic"/>
                <w:highlight w:val="none"/>
                <w:lang w:val="sv-SE" w:eastAsia="ko-KR"/>
              </w:rPr>
              <w:t xml:space="preserve">RAN4 will further discuss if </w:t>
            </w:r>
            <w:r>
              <w:rPr>
                <w:rFonts w:eastAsia="Malgun Gothic"/>
                <w:highlight w:val="none"/>
                <w:lang w:val="en-US" w:eastAsia="ko-KR"/>
              </w:rPr>
              <w:t>there is any SRS related impact in Rel-17</w:t>
            </w:r>
          </w:p>
          <w:p>
            <w:pPr>
              <w:pStyle w:val="26"/>
              <w:numPr>
                <w:ilvl w:val="0"/>
                <w:numId w:val="4"/>
              </w:numPr>
              <w:ind w:firstLineChars="0"/>
              <w:rPr>
                <w:rFonts w:hint="default" w:ascii="Times New Roman" w:hAnsi="Times New Roman" w:cs="Times New Roman"/>
                <w:sz w:val="20"/>
                <w:szCs w:val="20"/>
                <w:lang w:val="en-US" w:eastAsia="zh-CN"/>
              </w:rPr>
            </w:pPr>
            <w:r>
              <w:rPr>
                <w:rFonts w:eastAsiaTheme="minorEastAsia"/>
                <w:highlight w:val="none"/>
                <w:lang w:val="en-US" w:eastAsia="zh-CN"/>
              </w:rPr>
              <w:t xml:space="preserve">It will be concluded in RAN4#101-e based on the discussion given the time limitation </w:t>
            </w:r>
            <w:r>
              <w:rPr>
                <w:rFonts w:ascii="Times New Roman" w:hAnsi="Times New Roman" w:cs="Times New Roman"/>
                <w:sz w:val="20"/>
                <w:szCs w:val="20"/>
                <w:highlight w:val="none"/>
              </w:rPr>
              <w:t xml:space="preserve">  </w:t>
            </w:r>
          </w:p>
        </w:tc>
      </w:tr>
    </w:tbl>
    <w:p>
      <w:pPr>
        <w:pStyle w:val="3"/>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rFonts w:hint="eastAsia" w:eastAsia="宋体"/>
          <w:color w:val="auto"/>
          <w:sz w:val="21"/>
          <w:szCs w:val="21"/>
          <w:lang w:val="en-US" w:eastAsia="zh-CN"/>
        </w:rPr>
        <w:t xml:space="preserve">According to the conclusions achieved during 100 e-meeting and the progress of recent RAN1 meetings, we will provide our analysis focus on the impact for SRS enhancement.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According to the latest revised WID, the detail of SRS enhancement in [2] is as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numPr>
                <w:ilvl w:val="0"/>
                <w:numId w:val="0"/>
              </w:numPr>
              <w:spacing w:after="0"/>
              <w:jc w:val="both"/>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Enhancement on P, targeting both FR1 and FR2:</w:t>
            </w:r>
          </w:p>
          <w:p>
            <w:pPr>
              <w:pStyle w:val="26"/>
              <w:numPr>
                <w:ilvl w:val="0"/>
                <w:numId w:val="5"/>
              </w:numPr>
              <w:spacing w:after="0"/>
              <w:ind w:left="-20" w:leftChars="0"/>
              <w:jc w:val="both"/>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Identify and specify enhancements on aperiodic SRS triggering to facilitate more flexible triggering and/or DCI overhead/usage reduction</w:t>
            </w:r>
          </w:p>
          <w:p>
            <w:pPr>
              <w:pStyle w:val="26"/>
              <w:numPr>
                <w:ilvl w:val="0"/>
                <w:numId w:val="5"/>
              </w:numPr>
              <w:spacing w:after="0"/>
              <w:ind w:left="-20" w:leftChars="0"/>
              <w:jc w:val="both"/>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Specify SRS switching for up to 8 antennas (e.g., xTyR, x = {1, 2, 4} and y = {6, 8})</w:t>
            </w:r>
          </w:p>
          <w:p>
            <w:pPr>
              <w:pStyle w:val="26"/>
              <w:numPr>
                <w:ilvl w:val="0"/>
                <w:numId w:val="5"/>
              </w:numPr>
              <w:spacing w:after="0"/>
              <w:ind w:left="-20" w:leftChars="0"/>
              <w:jc w:val="both"/>
              <w:rPr>
                <w:rFonts w:hint="default" w:eastAsia="宋体"/>
                <w:color w:val="auto"/>
                <w:sz w:val="21"/>
                <w:szCs w:val="21"/>
                <w:vertAlign w:val="baseline"/>
                <w:lang w:val="en-US" w:eastAsia="zh-CN"/>
              </w:rPr>
            </w:pPr>
            <w:r>
              <w:rPr>
                <w:rFonts w:hint="eastAsia" w:ascii="Times New Roman" w:hAnsi="Times New Roman" w:eastAsia="宋体" w:cs="Times New Roman"/>
                <w:color w:val="auto"/>
                <w:kern w:val="0"/>
                <w:sz w:val="21"/>
                <w:szCs w:val="21"/>
                <w:lang w:val="en-US" w:eastAsia="zh-CN" w:bidi="ar-SA"/>
              </w:rPr>
              <w:t>Evaluate and, if needed, specify the following mechanism(s) to enhance SRS capacity and/or coverage: SRS time bundling, increased SRS repetition, partial sounding across frequency</w:t>
            </w:r>
          </w:p>
        </w:tc>
      </w:tr>
    </w:tbl>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Analysis the three sub-bullets, only the second sub-bullet enhancement will affect RAN4. The impact is reflected in the following aspects:</w:t>
      </w:r>
    </w:p>
    <w:p>
      <w:pPr>
        <w:pStyle w:val="3"/>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 xml:space="preserve">With the increase of Rx antenna, if the number of Tx antenna remains the same, the SRS resource set used for 'antennaSwitching' has to contain more SRS resource, thus the latency of receiving and processing all SRS resource will be longer and the SRS antenna switching delay will be larger, the corresponding interruption delay will be larger. </w:t>
      </w:r>
      <w:r>
        <w:rPr>
          <w:rFonts w:hint="eastAsia" w:eastAsia="宋体"/>
          <w:color w:val="1D41D5"/>
          <w:sz w:val="21"/>
          <w:szCs w:val="21"/>
          <w:lang w:val="en-US" w:eastAsia="zh-CN"/>
        </w:rPr>
        <w:t>(Only impact on RRM)</w:t>
      </w:r>
    </w:p>
    <w:p>
      <w:pPr>
        <w:pStyle w:val="3"/>
        <w:numPr>
          <w:ilvl w:val="0"/>
          <w:numId w:val="6"/>
        </w:numPr>
        <w:tabs>
          <w:tab w:val="left" w:pos="226"/>
          <w:tab w:val="left" w:pos="284"/>
          <w:tab w:val="left" w:pos="5103"/>
        </w:tabs>
        <w:snapToGrid w:val="0"/>
        <w:spacing w:before="156" w:beforeLines="50"/>
        <w:ind w:left="420" w:leftChars="0" w:hanging="420" w:firstLineChars="0"/>
        <w:rPr>
          <w:rFonts w:hint="default" w:eastAsia="宋体"/>
          <w:color w:val="auto"/>
          <w:sz w:val="21"/>
          <w:szCs w:val="21"/>
          <w:lang w:val="en-US" w:eastAsia="zh-CN"/>
        </w:rPr>
      </w:pPr>
      <w:r>
        <w:rPr>
          <w:rFonts w:hint="eastAsia" w:eastAsia="宋体"/>
          <w:color w:val="auto"/>
          <w:sz w:val="21"/>
          <w:szCs w:val="21"/>
          <w:lang w:val="en-US" w:eastAsia="zh-CN"/>
        </w:rPr>
        <w:t xml:space="preserve">For IL(Insertion Loss) compensation consideration, for FR1, power boosting of SRS was applied so as to compensate the additional IL during SRS antenna switch. But for FR2, since the front-end RF and antenna array are integrated and encapsulated into the terminal chip, the IL will be very small. Therefore, for FR2, not need to consider IL compensation; for FR1, for the case that the number of Rx antenna is much larger than the number of Tx antenna, e.g. 1T6R, 1T8R and 2T8R, whether the current value of power boosting of SRS antenna switching </w:t>
      </w:r>
      <w:r>
        <w:rPr>
          <w:highlight w:val="none"/>
        </w:rPr>
        <w:t>∆T</w:t>
      </w:r>
      <w:r>
        <w:rPr>
          <w:highlight w:val="none"/>
          <w:vertAlign w:val="subscript"/>
          <w:lang w:eastAsia="zh-CN"/>
        </w:rPr>
        <w:t>RxSRS</w:t>
      </w:r>
      <w:r>
        <w:rPr>
          <w:rFonts w:hint="eastAsia" w:eastAsia="宋体"/>
          <w:color w:val="auto"/>
          <w:sz w:val="21"/>
          <w:szCs w:val="21"/>
          <w:lang w:val="en-US" w:eastAsia="zh-CN"/>
        </w:rPr>
        <w:t xml:space="preserve"> is enough, which should be further determined. </w:t>
      </w:r>
      <w:r>
        <w:rPr>
          <w:rFonts w:hint="eastAsia" w:eastAsia="宋体"/>
          <w:color w:val="1D41D5"/>
          <w:sz w:val="21"/>
          <w:szCs w:val="21"/>
          <w:lang w:val="en-US" w:eastAsia="zh-CN"/>
        </w:rPr>
        <w:t>(possible impact on RF)</w:t>
      </w:r>
      <w:r>
        <w:rPr>
          <w:rFonts w:hint="eastAsia" w:eastAsia="宋体"/>
          <w:color w:val="auto"/>
          <w:sz w:val="21"/>
          <w:szCs w:val="21"/>
          <w:lang w:val="en-US" w:eastAsia="zh-CN"/>
        </w:rPr>
        <w:t xml:space="preserve">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eastAsia="宋体"/>
          <w:b/>
          <w:lang w:eastAsia="zh-CN"/>
        </w:rPr>
        <w:t xml:space="preserve">Proposal </w:t>
      </w:r>
      <w:r>
        <w:rPr>
          <w:rFonts w:hint="eastAsia" w:eastAsia="宋体"/>
          <w:b/>
          <w:lang w:val="en-US" w:eastAsia="zh-CN"/>
        </w:rPr>
        <w:t>1</w:t>
      </w:r>
      <w:r>
        <w:rPr>
          <w:rFonts w:eastAsia="宋体"/>
          <w:b/>
          <w:lang w:eastAsia="zh-CN"/>
        </w:rPr>
        <w:t>:</w:t>
      </w:r>
      <w:r>
        <w:rPr>
          <w:rFonts w:hint="eastAsia" w:eastAsia="宋体"/>
          <w:b/>
          <w:lang w:val="en-US" w:eastAsia="zh-CN"/>
        </w:rPr>
        <w:t xml:space="preserve"> For RF enhancement, considering for SRS switching for up to 8 antennas, only possible IL enhancement should be further determined.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SRS related impact</w:t>
      </w:r>
      <w:r>
        <w:rPr>
          <w:rFonts w:eastAsia="宋体"/>
          <w:bCs/>
          <w:color w:val="auto"/>
          <w:sz w:val="21"/>
          <w:szCs w:val="21"/>
          <w:lang w:val="en-GB" w:eastAsia="zh-CN"/>
        </w:rPr>
        <w:t>:</w:t>
      </w:r>
    </w:p>
    <w:p>
      <w:pPr>
        <w:numPr>
          <w:ilvl w:val="0"/>
          <w:numId w:val="0"/>
        </w:numPr>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 xml:space="preserve">Proposal 1: </w:t>
      </w:r>
      <w:r>
        <w:rPr>
          <w:rFonts w:hint="eastAsia" w:eastAsia="宋体"/>
          <w:b/>
          <w:lang w:val="en-US" w:eastAsia="zh-CN"/>
        </w:rPr>
        <w:t xml:space="preserve">For RF enhancement, considering for SRS switching for up to 8 antennas, only possible IL enhancement should be further determined.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114994</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FeMIMO impacts to RF requirements</w:t>
      </w:r>
      <w:r>
        <w:rPr>
          <w:rFonts w:hint="default"/>
          <w:color w:val="auto"/>
          <w:lang w:val="en-US" w:eastAsia="zh-CN"/>
        </w:rPr>
        <w:t>”</w:t>
      </w:r>
      <w:r>
        <w:rPr>
          <w:rFonts w:hint="eastAsia"/>
          <w:color w:val="auto"/>
          <w:lang w:val="en-US" w:eastAsia="zh-CN"/>
        </w:rPr>
        <w:t>, Samsung.</w:t>
      </w:r>
    </w:p>
    <w:p>
      <w:pPr>
        <w:pStyle w:val="8"/>
        <w:rPr>
          <w:color w:val="auto"/>
        </w:rPr>
      </w:pPr>
      <w:r>
        <w:rPr>
          <w:rFonts w:hint="eastAsia"/>
          <w:color w:val="auto"/>
          <w:lang w:val="en-US" w:eastAsia="zh-CN"/>
        </w:rPr>
        <w:t xml:space="preserve">RP-211586, </w:t>
      </w:r>
      <w:r>
        <w:rPr>
          <w:rFonts w:hint="default"/>
          <w:color w:val="auto"/>
          <w:lang w:val="en-US" w:eastAsia="zh-CN"/>
        </w:rPr>
        <w:t>“Revised WID: Further enhancements on MIMO for NR”</w:t>
      </w:r>
      <w:r>
        <w:rPr>
          <w:rFonts w:hint="eastAsia"/>
          <w:color w:val="auto"/>
          <w:lang w:val="en-US" w:eastAsia="zh-CN"/>
        </w:rPr>
        <w:t xml:space="preserve">, Samsung. </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63D1FF"/>
    <w:multiLevelType w:val="singleLevel"/>
    <w:tmpl w:val="BD63D1FF"/>
    <w:lvl w:ilvl="0" w:tentative="0">
      <w:start w:val="1"/>
      <w:numFmt w:val="lowerLetter"/>
      <w:suff w:val="space"/>
      <w:lvlText w:val="%1."/>
      <w:lvlJc w:val="left"/>
      <w:pPr>
        <w:ind w:left="-420"/>
      </w:p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680133E"/>
    <w:multiLevelType w:val="multilevel"/>
    <w:tmpl w:val="3680133E"/>
    <w:lvl w:ilvl="0" w:tentative="0">
      <w:start w:val="3"/>
      <w:numFmt w:val="bullet"/>
      <w:lvlText w:val="-"/>
      <w:lvlJc w:val="left"/>
      <w:pPr>
        <w:ind w:left="800" w:hanging="400"/>
      </w:pPr>
      <w:rPr>
        <w:rFonts w:hint="default" w:ascii="Times New Roman" w:hAnsi="Times New Roman"/>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883CFC3"/>
    <w:multiLevelType w:val="singleLevel"/>
    <w:tmpl w:val="6883CFC3"/>
    <w:lvl w:ilvl="0" w:tentative="0">
      <w:start w:val="1"/>
      <w:numFmt w:val="bullet"/>
      <w:lvlText w:val=""/>
      <w:lvlJc w:val="left"/>
      <w:pPr>
        <w:ind w:left="420" w:hanging="420"/>
      </w:pPr>
      <w:rPr>
        <w:rFonts w:hint="default" w:ascii="Wingdings" w:hAnsi="Wingdings"/>
      </w:rPr>
    </w:lvl>
  </w:abstractNum>
  <w:abstractNum w:abstractNumId="5">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5200480"/>
    <w:rsid w:val="06AA1695"/>
    <w:rsid w:val="07CD3CDD"/>
    <w:rsid w:val="0CC1076F"/>
    <w:rsid w:val="0F4B67EF"/>
    <w:rsid w:val="0F5E2230"/>
    <w:rsid w:val="10845506"/>
    <w:rsid w:val="10DA5664"/>
    <w:rsid w:val="111E3096"/>
    <w:rsid w:val="11893FF6"/>
    <w:rsid w:val="12CB53F3"/>
    <w:rsid w:val="13060AA5"/>
    <w:rsid w:val="16133E3F"/>
    <w:rsid w:val="16E7731D"/>
    <w:rsid w:val="17542C92"/>
    <w:rsid w:val="18AA5B3E"/>
    <w:rsid w:val="194122C5"/>
    <w:rsid w:val="19E55B24"/>
    <w:rsid w:val="1B5A5199"/>
    <w:rsid w:val="1BD31CD2"/>
    <w:rsid w:val="205076B4"/>
    <w:rsid w:val="2082712A"/>
    <w:rsid w:val="21B11B74"/>
    <w:rsid w:val="231F3A56"/>
    <w:rsid w:val="24715F69"/>
    <w:rsid w:val="263D51AB"/>
    <w:rsid w:val="2B034D47"/>
    <w:rsid w:val="2CC92235"/>
    <w:rsid w:val="2D8824A9"/>
    <w:rsid w:val="2DBD3842"/>
    <w:rsid w:val="2DBD3CB8"/>
    <w:rsid w:val="2E1176AC"/>
    <w:rsid w:val="2ECB7AE0"/>
    <w:rsid w:val="2F196F3B"/>
    <w:rsid w:val="2F6A7113"/>
    <w:rsid w:val="30C973EB"/>
    <w:rsid w:val="33672BF5"/>
    <w:rsid w:val="36A016F3"/>
    <w:rsid w:val="393F448C"/>
    <w:rsid w:val="3C4E1516"/>
    <w:rsid w:val="3D0F477C"/>
    <w:rsid w:val="3D6F2596"/>
    <w:rsid w:val="3FF32B7B"/>
    <w:rsid w:val="404F7A6B"/>
    <w:rsid w:val="40C765F3"/>
    <w:rsid w:val="40CC463F"/>
    <w:rsid w:val="42CE6A0F"/>
    <w:rsid w:val="42E26F89"/>
    <w:rsid w:val="43C320E4"/>
    <w:rsid w:val="455509E4"/>
    <w:rsid w:val="45F60A50"/>
    <w:rsid w:val="46157ABD"/>
    <w:rsid w:val="46280997"/>
    <w:rsid w:val="477801EF"/>
    <w:rsid w:val="47DB43C5"/>
    <w:rsid w:val="4CC53F61"/>
    <w:rsid w:val="4D513299"/>
    <w:rsid w:val="4E6F0AEA"/>
    <w:rsid w:val="4EA56C23"/>
    <w:rsid w:val="4F0B3630"/>
    <w:rsid w:val="4F9305DC"/>
    <w:rsid w:val="4FBD6EC5"/>
    <w:rsid w:val="514C45A8"/>
    <w:rsid w:val="51B14BED"/>
    <w:rsid w:val="51CF00E7"/>
    <w:rsid w:val="52F664E7"/>
    <w:rsid w:val="52FE4FB2"/>
    <w:rsid w:val="54175BE1"/>
    <w:rsid w:val="544A23E1"/>
    <w:rsid w:val="560E743D"/>
    <w:rsid w:val="564B25D4"/>
    <w:rsid w:val="566165B2"/>
    <w:rsid w:val="56D06899"/>
    <w:rsid w:val="58E11E6E"/>
    <w:rsid w:val="590733E0"/>
    <w:rsid w:val="59E05DA7"/>
    <w:rsid w:val="5A151B9F"/>
    <w:rsid w:val="5A26004C"/>
    <w:rsid w:val="5D103461"/>
    <w:rsid w:val="5F7F3C30"/>
    <w:rsid w:val="60552863"/>
    <w:rsid w:val="6086070B"/>
    <w:rsid w:val="63357437"/>
    <w:rsid w:val="6544784D"/>
    <w:rsid w:val="65CD0C5C"/>
    <w:rsid w:val="65F872D3"/>
    <w:rsid w:val="66E759DF"/>
    <w:rsid w:val="68105991"/>
    <w:rsid w:val="68797DD1"/>
    <w:rsid w:val="68A411BE"/>
    <w:rsid w:val="6BD66290"/>
    <w:rsid w:val="6C7858D5"/>
    <w:rsid w:val="6CF36133"/>
    <w:rsid w:val="6DDE3DAF"/>
    <w:rsid w:val="70A55C85"/>
    <w:rsid w:val="7123768D"/>
    <w:rsid w:val="715F4C2D"/>
    <w:rsid w:val="724D08F9"/>
    <w:rsid w:val="76DB757D"/>
    <w:rsid w:val="77770209"/>
    <w:rsid w:val="77B7237F"/>
    <w:rsid w:val="7A232D3C"/>
    <w:rsid w:val="7AB943F6"/>
    <w:rsid w:val="7C45431D"/>
    <w:rsid w:val="7C963B24"/>
    <w:rsid w:val="7DDD0501"/>
    <w:rsid w:val="7E2B63E7"/>
    <w:rsid w:val="7E935AFB"/>
    <w:rsid w:val="7FA91BE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14</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2021-10-22T15:19:28Z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